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482"/>
            <w:shd w:fill="E52323"/>
            <w:tcMar>
              <w:top w:w="24" w:type="dxa"/>
              <w:start w:w="0" w:type="dxa"/>
              <w:bottom w:w="24" w:type="dxa"/>
              <w:end w:w="0" w:type="dxa"/>
            </w:tcMar>
          </w:tcPr>
          <w:p/>
        </w:tc>
      </w:tr>
    </w:tbl>
    <w:p>
      <w:pPr>
        <w:pStyle w:val="Title"/>
        <w:spacing w:before="360"/>
      </w:pPr>
      <w:r>
        <w:t>Scorecard KPI — 90 de zile</w:t>
      </w:r>
    </w:p>
    <w:p>
      <w:pPr>
        <w:spacing w:after="240"/>
      </w:pPr>
      <w:r>
        <w:rPr>
          <w:color w:val="475569"/>
          <w:sz w:val="22"/>
        </w:rPr>
        <w:t>Transformă prioritățile în rezultate urmărite săptămânal, cu owner, țintă și acțiune corectivă.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312"/>
        <w:gridCol w:w="3312"/>
        <w:gridCol w:w="3312"/>
      </w:tblGrid>
      <w:tr>
        <w:tc>
          <w:tcPr>
            <w:tcW w:type="dxa" w:w="349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8"/>
              </w:rPr>
              <w:t>1  Completează sincer</w:t>
            </w:r>
          </w:p>
        </w:tc>
        <w:tc>
          <w:tcPr>
            <w:tcW w:type="dxa" w:w="349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8"/>
              </w:rPr>
              <w:t>2  Identifică blocajul</w:t>
            </w:r>
          </w:p>
        </w:tc>
        <w:tc>
          <w:tcPr>
            <w:tcW w:type="dxa" w:w="349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8"/>
              </w:rPr>
              <w:t>3  Alege o acțiune</w:t>
            </w:r>
          </w:p>
        </w:tc>
      </w:tr>
    </w:tbl>
    <w:p/>
    <w:p>
      <w:pPr>
        <w:pStyle w:val="Heading1"/>
      </w:pPr>
      <w:r>
        <w:t>North Star și obiectiv trimestrial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482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20"/>
              </w:rPr>
              <w:t>Definiția rezultatului</w:t>
            </w:r>
          </w:p>
        </w:tc>
      </w:tr>
      <w:tr>
        <w:tc>
          <w:tcPr>
            <w:tcW w:type="dxa" w:w="1048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Obiectivul principal al trimestrului:</w:t>
              <w:br/>
              <w:br/>
            </w:r>
          </w:p>
        </w:tc>
      </w:tr>
      <w:tr>
        <w:tc>
          <w:tcPr>
            <w:tcW w:type="dxa" w:w="1048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Metrică North Star + formula exactă:</w:t>
              <w:br/>
              <w:br/>
            </w:r>
          </w:p>
        </w:tc>
      </w:tr>
      <w:tr>
        <w:tc>
          <w:tcPr>
            <w:tcW w:type="dxa" w:w="1048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Valoare de bază / țintă la 90 zile:</w:t>
              <w:br/>
              <w:br/>
            </w:r>
          </w:p>
        </w:tc>
      </w:tr>
      <w:tr>
        <w:tc>
          <w:tcPr>
            <w:tcW w:type="dxa" w:w="1048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De ce contează pentru modelul de business:</w:t>
              <w:br/>
              <w:br/>
            </w:r>
          </w:p>
        </w:tc>
      </w:tr>
    </w:tbl>
    <w:p/>
    <w:p>
      <w:pPr>
        <w:pStyle w:val="Heading1"/>
      </w:pPr>
      <w:r>
        <w:t>Scorecard săptămânal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656"/>
        <w:gridCol w:w="2016"/>
        <w:gridCol w:w="1224"/>
        <w:gridCol w:w="864"/>
        <w:gridCol w:w="864"/>
        <w:gridCol w:w="648"/>
        <w:gridCol w:w="648"/>
        <w:gridCol w:w="2232"/>
      </w:tblGrid>
      <w:tr>
        <w:trPr>
          <w:tblHeader w:val="true"/>
        </w:trPr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KPI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Formula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Owner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Bază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Țintă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S1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S2</w:t>
            </w:r>
          </w:p>
        </w:tc>
        <w:tc>
          <w:tcPr>
            <w:tcW w:type="dxa" w:w="1310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14"/>
              </w:rPr>
              <w:t>Status / acțiune</w:t>
            </w:r>
          </w:p>
        </w:tc>
      </w:tr>
      <w:tr>
        <w:tc>
          <w:tcPr>
            <w:tcW w:type="dxa" w:w="165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  <w:tr>
        <w:tc>
          <w:tcPr>
            <w:tcW w:type="dxa" w:w="165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016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122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864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648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  <w:tc>
          <w:tcPr>
            <w:tcW w:type="dxa" w:w="223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5"/>
              </w:rPr>
              <w:br/>
            </w:r>
          </w:p>
        </w:tc>
      </w:tr>
    </w:tbl>
    <w:p>
      <w:pPr>
        <w:pStyle w:val="Heading2"/>
      </w:pPr>
      <w:r>
        <w:t>Cascada KPI recomandată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620"/>
        <w:gridCol w:w="2620"/>
        <w:gridCol w:w="2620"/>
        <w:gridCol w:w="2620"/>
      </w:tblGrid>
      <w:tr>
        <w:tc>
          <w:tcPr>
            <w:tcW w:type="dxa" w:w="2620"/>
            <w:shd w:fill="FFF1F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Finanțe</w:t>
              <w:br/>
              <w:t>Venit, marjă brută, cash runway</w:t>
            </w:r>
          </w:p>
        </w:tc>
        <w:tc>
          <w:tcPr>
            <w:tcW w:type="dxa" w:w="2620"/>
            <w:shd w:fill="FFF1F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Vânzări</w:t>
              <w:br/>
              <w:t>Pipeline, conversie, ciclu de vânzare</w:t>
            </w:r>
          </w:p>
        </w:tc>
        <w:tc>
          <w:tcPr>
            <w:tcW w:type="dxa" w:w="2620"/>
            <w:shd w:fill="FFF1F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Livrare</w:t>
              <w:br/>
              <w:t>Timp, calitate, recurență</w:t>
            </w:r>
          </w:p>
        </w:tc>
        <w:tc>
          <w:tcPr>
            <w:tcW w:type="dxa" w:w="2620"/>
            <w:shd w:fill="FFF1F1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Echipă</w:t>
              <w:br/>
              <w:t>Capacitate, performanță, dependență</w:t>
            </w:r>
          </w:p>
        </w:tc>
      </w:tr>
      <w:tr>
        <w:tc>
          <w:tcPr>
            <w:tcW w:type="dxa" w:w="2620"/>
            <w:shd w:fill="ECFD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Clienți</w:t>
              <w:br/>
              <w:t>NPS, retenție, recomandări</w:t>
            </w:r>
          </w:p>
        </w:tc>
        <w:tc>
          <w:tcPr>
            <w:tcW w:type="dxa" w:w="2620"/>
            <w:shd w:fill="ECFD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Fondator</w:t>
              <w:br/>
              <w:t>Ore în execuție vs. strategie</w:t>
            </w:r>
          </w:p>
        </w:tc>
        <w:tc>
          <w:tcPr>
            <w:tcW w:type="dxa" w:w="2620"/>
            <w:shd w:fill="ECFD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Procese</w:t>
              <w:br/>
              <w:t>% procese cu owner și SOP</w:t>
            </w:r>
          </w:p>
        </w:tc>
        <w:tc>
          <w:tcPr>
            <w:tcW w:type="dxa" w:w="2620"/>
            <w:shd w:fill="ECFDF5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10151D"/>
                <w:sz w:val="15"/>
              </w:rPr>
              <w:t>Ritm</w:t>
              <w:br/>
              <w:t>% acțiuni finalizate la termen</w:t>
            </w:r>
          </w:p>
        </w:tc>
      </w:tr>
    </w:tbl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224"/>
      </w:tblGrid>
      <w:tr>
        <w:tc>
          <w:tcPr>
            <w:tcW w:type="dxa" w:w="10482"/>
            <w:shd w:fill="10151D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/>
                <w:color w:val="FFFFFF"/>
                <w:sz w:val="20"/>
              </w:rPr>
              <w:t>Ritualul săptămânal de 30 minute</w:t>
            </w:r>
          </w:p>
        </w:tc>
      </w:tr>
      <w:tr>
        <w:tc>
          <w:tcPr>
            <w:tcW w:type="dxa" w:w="1048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Ce indicator este roșu și de ce?</w:t>
              <w:br/>
              <w:br/>
            </w:r>
          </w:p>
        </w:tc>
      </w:tr>
      <w:tr>
        <w:tc>
          <w:tcPr>
            <w:tcW w:type="dxa" w:w="1048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Ce decizie luăm acum, nu săptămâna viitoare?</w:t>
              <w:br/>
              <w:br/>
            </w:r>
          </w:p>
        </w:tc>
      </w:tr>
      <w:tr>
        <w:tc>
          <w:tcPr>
            <w:tcW w:type="dxa" w:w="10482"/>
            <w:shd w:fill="F4F6F8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Cine este owner și care este termenul?</w:t>
              <w:br/>
              <w:br/>
            </w:r>
          </w:p>
        </w:tc>
      </w:tr>
      <w:tr>
        <w:tc>
          <w:tcPr>
            <w:tcW w:type="dxa" w:w="10482"/>
            <w:shd w:fill="FFFFFF"/>
            <w:vAlign w:val="center"/>
            <w:tcMar>
              <w:top w:w="90" w:type="dxa"/>
              <w:start w:w="120" w:type="dxa"/>
              <w:bottom w:w="90" w:type="dxa"/>
              <w:end w:w="120" w:type="dxa"/>
            </w:tcMar>
          </w:tcPr>
          <w:p>
            <w:pPr>
              <w:spacing w:after="0"/>
            </w:pPr>
            <w:r/>
            <w:r>
              <w:rPr>
                <w:rFonts w:ascii="Poppins" w:hAnsi="Poppins"/>
                <w:b w:val="0"/>
                <w:color w:val="10151D"/>
                <w:sz w:val="18"/>
              </w:rPr>
              <w:t>□  Ce experiment oprim, continuăm sau accelerăm?</w:t>
              <w:br/>
              <w:br/>
            </w:r>
          </w:p>
        </w:tc>
      </w:tr>
    </w:tbl>
    <w:p/>
    <w:sectPr w:rsidR="00FC693F" w:rsidRPr="0006063C" w:rsidSect="00034616">
      <w:headerReference w:type="default" r:id="rId9"/>
      <w:footerReference w:type="default" r:id="rId10"/>
      <w:pgSz w:w="12240" w:h="15840"/>
      <w:pgMar w:top="794" w:right="879" w:bottom="794" w:left="87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Poppins" w:hAnsi="Poppins"/>
        <w:color w:val="475569"/>
        <w:sz w:val="15"/>
      </w:rPr>
      <w:t>Smart Business Accelerator • Instrument de lucru intern și educațional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tblW w:type="auto" w:w="0"/>
      <w:tblLayout w:type="fixed"/>
      <w:tblLook w:firstColumn="1" w:firstRow="1" w:lastColumn="0" w:lastRow="0" w:noHBand="0" w:noVBand="1" w:val="04A0"/>
    </w:tblPr>
    <w:tblGrid>
      <w:gridCol w:w="8208"/>
      <w:gridCol w:w="2160"/>
    </w:tblGrid>
    <w:tr>
      <w:tc>
        <w:tcPr>
          <w:tcW w:type="dxa" w:w="5184"/>
        </w:tcPr>
        <w:p>
          <w:pPr>
            <w:jc w:val="left"/>
          </w:pPr>
          <w:r>
            <w:drawing>
              <wp:inline xmlns:a="http://schemas.openxmlformats.org/drawingml/2006/main" xmlns:pic="http://schemas.openxmlformats.org/drawingml/2006/picture">
                <wp:extent cx="234000" cy="277200"/>
                <wp:docPr id="1" name="Picture 1"/>
                <wp:cNvGraphicFramePr>
                  <a:graphicFrameLocks noChangeAspect="1"/>
                </wp:cNvGraphicFramePr>
                <a:graphic>
                  <a:graphicData uri="http://schemas.openxmlformats.org/drawingml/2006/picture">
                    <pic:pic>
                      <pic:nvPicPr>
                        <pic:cNvPr id="0" name="smartprenor-logo-icon.png"/>
                        <pic:cNvPicPr/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4000" cy="277200"/>
                        </a:xfrm>
                        <a:prstGeom prst="rect"/>
                      </pic:spPr>
                    </pic:pic>
                  </a:graphicData>
                </a:graphic>
              </wp:inline>
            </w:drawing>
          </w:r>
          <w:r>
            <w:rPr>
              <w:rFonts w:ascii="Poppins" w:hAnsi="Poppins"/>
              <w:b/>
              <w:color w:val="E52323"/>
              <w:sz w:val="20"/>
            </w:rPr>
            <w:t xml:space="preserve">  SmartPrenor™</w:t>
          </w:r>
        </w:p>
      </w:tc>
      <w:tc>
        <w:tcPr>
          <w:tcW w:type="dxa" w:w="5184"/>
          <w:vAlign w:val="center"/>
          <w:tcMar>
            <w:top w:w="90" w:type="dxa"/>
            <w:start w:w="120" w:type="dxa"/>
            <w:bottom w:w="90" w:type="dxa"/>
            <w:end w:w="120" w:type="dxa"/>
          </w:tcMar>
        </w:tcPr>
        <w:p>
          <w:pPr>
            <w:spacing w:after="0"/>
            <w:jc w:val="right"/>
          </w:pPr>
          <w:r/>
          <w:r>
            <w:rPr>
              <w:rFonts w:ascii="Poppins" w:hAnsi="Poppins"/>
              <w:b/>
              <w:color w:val="475569"/>
              <w:sz w:val="15"/>
            </w:rPr>
            <w:t>SBA • RESURSA 03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69" w:lineRule="auto"/>
    </w:pPr>
    <w:rPr>
      <w:rFonts w:ascii="Poppins" w:hAnsi="Poppins"/>
      <w:color w:val="10151D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100"/>
      <w:outlineLvl w:val="0"/>
    </w:pPr>
    <w:rPr>
      <w:rFonts w:asciiTheme="majorHAnsi" w:eastAsiaTheme="majorEastAsia" w:hAnsiTheme="majorHAnsi" w:cstheme="majorBidi" w:ascii="Poppins" w:hAnsi="Poppins"/>
      <w:b/>
      <w:bCs/>
      <w:color w:val="10151D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Poppins" w:hAnsi="Poppins"/>
      <w:b/>
      <w:bCs/>
      <w:color w:val="E5232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Poppins" w:hAnsi="Poppins"/>
      <w:b/>
      <w:bCs/>
      <w:color w:val="475569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 w:before="200"/>
      <w:contextualSpacing/>
    </w:pPr>
    <w:rPr>
      <w:rFonts w:asciiTheme="majorHAnsi" w:eastAsiaTheme="majorEastAsia" w:hAnsiTheme="majorHAnsi" w:cstheme="majorBidi" w:ascii="Poppins" w:hAnsi="Poppins"/>
      <w:b/>
      <w:color w:val="10151D"/>
      <w:spacing w:val="5"/>
      <w:kern w:val="28"/>
      <w:sz w:val="5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